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22"/>
    <w:p>
      <w:pPr>
        <w:pStyle w:val="Heading1"/>
      </w:pPr>
      <w:r>
        <w:t xml:space="preserve">Homiletics Analysis: Deuteronomy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22 is a chapter of diverse legal material that initially appears to be a loosely organized collection of case laws, but on closer reading reveals a unified concern: the preservation of God-ordained distinctions and the protection of the vulnerable within the covenant community. The chapter opens with laws requiring active neighborly care for straying animals and lost property (vv. 1–4), moves to the prohibition of cross-dressing (v. 5), the protection of a mother bird (vv. 6–7), roof safety requirements (v. 8), prohibitions against mixing (seeds, yoking animals, fabrics — vv. 9–11), and tassels as covenant reminders (v. 12). The chapter then transitions sharply into a sustained section on sexual integrity and the protection of women: the case of a man who slanders his wife’s virginity (vv. 13–21), adultery (v. 22), the seduction or rape of a betrothed woman in the city and in the field (vv. 23–27), the violation of an unbetrothed woman (vv. 28–29), and the prohibition of marrying one’s father’s wife (v. 30). The laws are not random — they form a coherent witness to the principle that God’s creation order is holy, that distinctions He has established must be honored, and that the community bears corporate responsibility for protecting those most at risk of harm.</w:t>
      </w:r>
    </w:p>
    <w:p>
      <w:pPr>
        <w:pStyle w:val="BodyText"/>
      </w:pPr>
      <w:r>
        <w:rPr>
          <w:b/>
          <w:bCs/>
        </w:rPr>
        <w:t xml:space="preserve">This Text — Intent:</w:t>
      </w:r>
    </w:p>
    <w:p>
      <w:pPr>
        <w:pStyle w:val="BodyText"/>
      </w:pPr>
      <w:r>
        <w:t xml:space="preserve">God is calling the covenant community to embody His own character — His attentiveness to the vulnerable, His holiness with respect to created distinctions, and His justice on behalf of those who cannot defend themselves — in the concrete, daily texture of communal life. The intent is not merely legal compliance but the formation of a community whose daily practices reflect the LORD’s own commitment to order, purity, and protection. The laws press Israel toward an active, costly, and other-centered engagement with neighbor, creation, and society that cannot be reduced to inward religion or private morality. God is seeking to form a holy people who see what others ignore, act where others pass by, and hold the line where others capitulate.</w:t>
      </w:r>
    </w:p>
    <w:p>
      <w:r>
        <w:pict>
          <v:rect style="width:0;height:1.5pt" o:hralign="center" o:hrstd="t" o:hr="t"/>
        </w:pict>
      </w:r>
    </w:p>
    <w:p>
      <w:pPr>
        <w:pStyle w:val="FirstParagraph"/>
      </w:pPr>
      <w:r>
        <w:rPr>
          <w:b/>
          <w:bCs/>
        </w:rPr>
        <w:t xml:space="preserve">Subject Sentence:</w:t>
      </w:r>
      <w:r>
        <w:t xml:space="preserve"> </w:t>
      </w:r>
      <w:r>
        <w:t xml:space="preserve">God’s law shapes Israel into a community that honors His order and protects the vulnerable.</w:t>
      </w:r>
    </w:p>
    <w:p>
      <w:r>
        <w:pict>
          <v:rect style="width:0;height:1.5pt" o:hralign="center" o:hrstd="t" o:hr="t"/>
        </w:pict>
      </w:r>
    </w:p>
    <w:p>
      <w:pPr>
        <w:pStyle w:val="FirstParagraph"/>
      </w:pPr>
      <w:r>
        <w:rPr>
          <w:b/>
          <w:bCs/>
        </w:rPr>
        <w:t xml:space="preserve">Primary Claim:</w:t>
      </w:r>
      <w:r>
        <w:t xml:space="preserve"> </w:t>
      </w:r>
      <w:r>
        <w:t xml:space="preserve">The LORD gives Israel detailed law not to burden the community but to form it — to create a people whose daily practices reflect His own attentiveness to order, care for the vulnerable, and intolerance of the violations that unravel both.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mixing laws (vv. 9–11) and their meaning:</w:t>
      </w:r>
      <w:r>
        <w:t xml:space="preserve"> </w:t>
      </w:r>
      <w:r>
        <w:t xml:space="preserve">A persistent interpretive challenge in this chapter is the purpose of the prohibitions against mixed seeds, mixed yoking, and mixed fabrics. Three readings compete. A first reading treats these as arbitrary tests of obedience — the content matters less than the submission required (common in popular-level teaching). A second reading treats them as hygiene or agricultural wisdom embedded in ancient Near Eastern culture — functional regulations without theological freight. A third reading, which best accounts for the canonical context, treats them as symbolic witnesses to creation order: God made things according to their kinds (Genesis 1), and Israel’s daily agricultural and domestic practices were to embody the principle that God’s distinctions are real and to be honored. The prohibitions are not arbitrary — they enact a theology of creation-integrity. They also set Israel apart from surrounding nations whose syncretistic practices blurred the boundaries between sacred and profane. The Reformed reading affirms this third interpretation: the laws carry symbolic-theological freight that reinforces the broader chapter’s concern with distinctions, while acknowledging that the specific ceremonial regulations are not directly binding on the New Covenant community in their form (see Colossians 2:16–17; Acts 10), even as their moral principle — that God’s created distinctions are real and to be honored — retains force.</w:t>
      </w:r>
    </w:p>
    <w:p>
      <w:pPr>
        <w:pStyle w:val="BodyText"/>
      </w:pPr>
      <w:r>
        <w:rPr>
          <w:b/>
          <w:bCs/>
        </w:rPr>
        <w:t xml:space="preserve">The virginity laws (vv. 13–21) and the protection of women:</w:t>
      </w:r>
      <w:r>
        <w:t xml:space="preserve"> </w:t>
      </w:r>
      <w:r>
        <w:t xml:space="preserve">A Wesleyan/egalitarian reading sometimes emphasizes that these laws protected women in a culture of male power — and this is correct as far as it goes. The chapter does function to protect women from false accusation and from violation. However, this reading, when it stops there, misses the covenantal and communal dimension: the laws are not primarily about gender equity as a modern category but about the holiness of the covenant community. The slander of a wife’s virginity is punished not only because of harm to the woman but because it strikes at the integrity of the covenant household and the community’s witness. The Reformed reading</w:t>
      </w:r>
      <w:r>
        <w:t xml:space="preserve"> </w:t>
      </w:r>
      <w:r>
        <w:rPr>
          <w:b/>
          <w:bCs/>
        </w:rPr>
        <w:t xml:space="preserve">qualifies</w:t>
      </w:r>
      <w:r>
        <w:t xml:space="preserve"> </w:t>
      </w:r>
      <w:r>
        <w:t xml:space="preserve">the protective emphasis by grounding it more deeply: these laws protect women</w:t>
      </w:r>
      <w:r>
        <w:t xml:space="preserve"> </w:t>
      </w:r>
      <w:r>
        <w:rPr>
          <w:i/>
          <w:iCs/>
        </w:rPr>
        <w:t xml:space="preserve">because</w:t>
      </w:r>
      <w:r>
        <w:t xml:space="preserve"> </w:t>
      </w:r>
      <w:r>
        <w:t xml:space="preserve">God takes the covenant community’s integrity seriously, not merely because of an abstract commitment to gender justice.</w:t>
      </w:r>
    </w:p>
    <w:p>
      <w:pPr>
        <w:pStyle w:val="BodyText"/>
      </w:pPr>
      <w:r>
        <w:rPr>
          <w:b/>
          <w:bCs/>
        </w:rPr>
        <w:t xml:space="preserve">The rape/seduction laws (vv. 23–27) and the city/field distinction:</w:t>
      </w:r>
      <w:r>
        <w:t xml:space="preserve"> </w:t>
      </w:r>
      <w:r>
        <w:t xml:space="preserve">The distinction between a betrothed woman who does not cry out in the city (v. 24) and one who is violated in the field (v. 27) has generated misreading across traditions. A surface reading sometimes treats v. 24 as blaming the victim if she did not call for help — which has been used, wrongly, to discount women’s testimony in assault cases. The text’s logic is evidentiary and contextual, not motivational: the city provided witnesses and opportunity for help; her silence in a context where help was available is treated as a legal indicator of consent. The field provides no such opportunity — her isolation is itself exculpatory. This is not a theology of blame but a case-law epistemology operating with available evidence in a pre-forensic legal environment. The Reformed reading</w:t>
      </w:r>
      <w:r>
        <w:t xml:space="preserve"> </w:t>
      </w:r>
      <w:r>
        <w:rPr>
          <w:b/>
          <w:bCs/>
        </w:rPr>
        <w:t xml:space="preserve">refutes</w:t>
      </w:r>
      <w:r>
        <w:t xml:space="preserve"> </w:t>
      </w:r>
      <w:r>
        <w:t xml:space="preserve">the victim-blaming interpretation: the law’s purpose is protective, and the field/city distinction is a legal inference framework, not a moral judgment about the woman’s character. The passage goes out of its way (v. 26) to state explicitly:</w:t>
      </w:r>
      <w:r>
        <w:t xml:space="preserve"> </w:t>
      </w:r>
      <w:r>
        <w:t xml:space="preserve">“But to the young woman you shall do nothing; the young woman has committed no sin deserving death.”</w:t>
      </w:r>
    </w:p>
    <w:p>
      <w:pPr>
        <w:pStyle w:val="BodyText"/>
      </w:pPr>
      <w:r>
        <w:rPr>
          <w:b/>
          <w:bCs/>
        </w:rPr>
        <w:t xml:space="preserve">No significant interpretive divergence</w:t>
      </w:r>
      <w:r>
        <w:t xml:space="preserve"> </w:t>
      </w:r>
      <w:r>
        <w:t xml:space="preserve">exists on the core principle of the chapter. The laws are widely understood across traditions as formation-oriented covenant legislation. The disputes are about the purpose of the mixing laws, the equity dimensions of the marriage laws, and the application of the virginity legislation — all secondary to the chapter’s main claim.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1:24–25, 2:24</w:t>
      </w:r>
      <w:r>
        <w:t xml:space="preserve"> </w:t>
      </w:r>
      <w:r>
        <w:t xml:space="preserve">— God’s creation of things</w:t>
      </w:r>
      <w:r>
        <w:t xml:space="preserve"> </w:t>
      </w:r>
      <w:r>
        <w:t xml:space="preserve">“according to their kinds”</w:t>
      </w:r>
      <w:r>
        <w:t xml:space="preserve"> </w:t>
      </w:r>
      <w:r>
        <w:t xml:space="preserve">and the one-flesh union of man and woman establishes the theological ground for all of Deuteronomy 22’s concern with distinctions and sexual integrity. The laws are not novel; they are protective fencing around creation order.</w:t>
      </w:r>
    </w:p>
    <w:p>
      <w:pPr>
        <w:numPr>
          <w:ilvl w:val="0"/>
          <w:numId w:val="1001"/>
        </w:numPr>
      </w:pPr>
      <w:r>
        <w:rPr>
          <w:b/>
          <w:bCs/>
        </w:rPr>
        <w:t xml:space="preserve">Leviticus 19:9–18</w:t>
      </w:r>
      <w:r>
        <w:t xml:space="preserve"> </w:t>
      </w:r>
      <w:r>
        <w:t xml:space="preserve">— The</w:t>
      </w:r>
      <w:r>
        <w:t xml:space="preserve"> </w:t>
      </w:r>
      <w:r>
        <w:t xml:space="preserve">“love your neighbor”</w:t>
      </w:r>
      <w:r>
        <w:t xml:space="preserve"> </w:t>
      </w:r>
      <w:r>
        <w:t xml:space="preserve">framework in Leviticus 19 provides the motivational underpinning for the neighborly laws in Deuteronomy 22:1–4; caring for straying animals and lost property is not civic duty but covenant obligation rooted in neighbor-love.</w:t>
      </w:r>
    </w:p>
    <w:p>
      <w:pPr>
        <w:numPr>
          <w:ilvl w:val="0"/>
          <w:numId w:val="1001"/>
        </w:numPr>
      </w:pPr>
      <w:r>
        <w:rPr>
          <w:b/>
          <w:bCs/>
        </w:rPr>
        <w:t xml:space="preserve">Proverbs 31:8–9</w:t>
      </w:r>
      <w:r>
        <w:t xml:space="preserve"> </w:t>
      </w:r>
      <w:r>
        <w:t xml:space="preserve">—</w:t>
      </w:r>
      <w:r>
        <w:t xml:space="preserve"> </w:t>
      </w:r>
      <w:r>
        <w:t xml:space="preserve">“Speak up for those who cannot speak for themselves… defend the rights of the poor and needy”</w:t>
      </w:r>
      <w:r>
        <w:t xml:space="preserve"> </w:t>
      </w:r>
      <w:r>
        <w:t xml:space="preserve">— the sapient tradition reinforces what the legal tradition enacts: God’s people are responsible for the protection of the vulnerable as a community practice.</w:t>
      </w:r>
    </w:p>
    <w:p>
      <w:pPr>
        <w:numPr>
          <w:ilvl w:val="0"/>
          <w:numId w:val="1001"/>
        </w:numPr>
      </w:pPr>
      <w:r>
        <w:rPr>
          <w:b/>
          <w:bCs/>
        </w:rPr>
        <w:t xml:space="preserve">Matthew 22:36–40</w:t>
      </w:r>
      <w:r>
        <w:t xml:space="preserve"> </w:t>
      </w:r>
      <w:r>
        <w:t xml:space="preserve">— Christ’s summary of the law as love of God and love of neighbor does not abrogate Deuteronomy 22 but reveals its animating principle: the diversity of case laws flows from the two great commandments, which themselves flow from the character of God.</w:t>
      </w:r>
    </w:p>
    <w:p>
      <w:pPr>
        <w:numPr>
          <w:ilvl w:val="0"/>
          <w:numId w:val="1001"/>
        </w:numPr>
      </w:pPr>
      <w:r>
        <w:rPr>
          <w:b/>
          <w:bCs/>
        </w:rPr>
        <w:t xml:space="preserve">1 Corinthians 6:18–20</w:t>
      </w:r>
      <w:r>
        <w:t xml:space="preserve"> </w:t>
      </w:r>
      <w:r>
        <w:t xml:space="preserve">— Paul’s appeal to the body as the temple of the Holy Spirit and the call to flee sexual immorality carries the Deuteronomic concern for sexual integrity into the New Covenant community — grounded now not in ceremonial law but in union with Christ and the indwelling Spirit.</w:t>
      </w:r>
    </w:p>
    <w:p>
      <w:r>
        <w:pict>
          <v:rect style="width:0;height:1.5pt" o:hralign="center" o:hrstd="t" o:hr="t"/>
        </w:pict>
      </w:r>
    </w:p>
    <w:p>
      <w:pPr>
        <w:pStyle w:val="FirstParagraph"/>
      </w:pPr>
      <w:r>
        <w:rPr>
          <w:b/>
          <w:bCs/>
        </w:rPr>
        <w:t xml:space="preserve">Aim:</w:t>
      </w:r>
      <w:r>
        <w:t xml:space="preserve"> </w:t>
      </w:r>
      <w:r>
        <w:t xml:space="preserve">To demonstrate that Deuteronomy 22’s diverse laws share a single animating concern — the formation of a community that honors God’s created distinctions and actively protects the vulnerable — and to press that concern into concrete contemporary application.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Command to return a neighbor’s straying ox, sheep, or any lost property — even if the neighbor is far away</w:t>
            </w:r>
          </w:p>
        </w:tc>
        <w:tc>
          <w:tcPr/>
          <w:p>
            <w:pPr>
              <w:pStyle w:val="Compact"/>
            </w:pPr>
            <w:r>
              <w:t xml:space="preserve">Active responsibility, not passive non-interference;</w:t>
            </w:r>
            <w:r>
              <w:t xml:space="preserve"> </w:t>
            </w:r>
            <w:r>
              <w:t xml:space="preserve">“you shall not ignore it”</w:t>
            </w:r>
          </w:p>
        </w:tc>
      </w:tr>
      <w:tr>
        <w:tc>
          <w:tcPr/>
          <w:p>
            <w:pPr>
              <w:pStyle w:val="Compact"/>
            </w:pPr>
            <w:r>
              <w:t xml:space="preserve">4</w:t>
            </w:r>
          </w:p>
        </w:tc>
        <w:tc>
          <w:tcPr/>
          <w:p>
            <w:pPr>
              <w:pStyle w:val="Compact"/>
            </w:pPr>
            <w:r>
              <w:t xml:space="preserve">Help a neighbor whose donkey or ox has fallen — do not ignore it</w:t>
            </w:r>
          </w:p>
        </w:tc>
        <w:tc>
          <w:tcPr/>
          <w:p>
            <w:pPr>
              <w:pStyle w:val="Compact"/>
            </w:pPr>
            <w:r>
              <w:t xml:space="preserve">Costly engagement with a neighbor’s burden</w:t>
            </w:r>
          </w:p>
        </w:tc>
      </w:tr>
      <w:tr>
        <w:tc>
          <w:tcPr/>
          <w:p>
            <w:pPr>
              <w:pStyle w:val="Compact"/>
            </w:pPr>
            <w:r>
              <w:t xml:space="preserve">5</w:t>
            </w:r>
          </w:p>
        </w:tc>
        <w:tc>
          <w:tcPr/>
          <w:p>
            <w:pPr>
              <w:pStyle w:val="Compact"/>
            </w:pPr>
            <w:r>
              <w:t xml:space="preserve">Prohibition of cross-dressing — men shall not wear women’s garments and vice versa;</w:t>
            </w:r>
            <w:r>
              <w:t xml:space="preserve"> </w:t>
            </w:r>
            <w:r>
              <w:t xml:space="preserve">“abomination to the LORD”</w:t>
            </w:r>
          </w:p>
        </w:tc>
        <w:tc>
          <w:tcPr/>
          <w:p>
            <w:pPr>
              <w:pStyle w:val="Compact"/>
            </w:pPr>
            <w:r>
              <w:t xml:space="preserve">Creation-distinction; gender differentiation is theologically significant</w:t>
            </w:r>
          </w:p>
        </w:tc>
      </w:tr>
      <w:tr>
        <w:tc>
          <w:tcPr/>
          <w:p>
            <w:pPr>
              <w:pStyle w:val="Compact"/>
            </w:pPr>
            <w:r>
              <w:t xml:space="preserve">6–7</w:t>
            </w:r>
          </w:p>
        </w:tc>
        <w:tc>
          <w:tcPr/>
          <w:p>
            <w:pPr>
              <w:pStyle w:val="Compact"/>
            </w:pPr>
            <w:r>
              <w:t xml:space="preserve">If you find a bird’s nest, you may take the young but must release the mother</w:t>
            </w:r>
          </w:p>
        </w:tc>
        <w:tc>
          <w:tcPr/>
          <w:p>
            <w:pPr>
              <w:pStyle w:val="Compact"/>
            </w:pPr>
            <w:r>
              <w:t xml:space="preserve">Care for creation; preservation of life at the generative source; also a pattern of proportionate use</w:t>
            </w:r>
          </w:p>
        </w:tc>
      </w:tr>
      <w:tr>
        <w:tc>
          <w:tcPr/>
          <w:p>
            <w:pPr>
              <w:pStyle w:val="Compact"/>
            </w:pPr>
            <w:r>
              <w:t xml:space="preserve">8</w:t>
            </w:r>
          </w:p>
        </w:tc>
        <w:tc>
          <w:tcPr/>
          <w:p>
            <w:pPr>
              <w:pStyle w:val="Compact"/>
            </w:pPr>
            <w:r>
              <w:t xml:space="preserve">Build a parapet on your roof to prevent accidental death —</w:t>
            </w:r>
            <w:r>
              <w:t xml:space="preserve"> </w:t>
            </w:r>
            <w:r>
              <w:t xml:space="preserve">“you shall not bring blood-guilt on your house”</w:t>
            </w:r>
          </w:p>
        </w:tc>
        <w:tc>
          <w:tcPr/>
          <w:p>
            <w:pPr>
              <w:pStyle w:val="Compact"/>
            </w:pPr>
            <w:r>
              <w:t xml:space="preserve">Corporate responsibility for safety; negligence constitutes guilt</w:t>
            </w:r>
          </w:p>
        </w:tc>
      </w:tr>
      <w:tr>
        <w:tc>
          <w:tcPr/>
          <w:p>
            <w:pPr>
              <w:pStyle w:val="Compact"/>
            </w:pPr>
            <w:r>
              <w:t xml:space="preserve">9</w:t>
            </w:r>
          </w:p>
        </w:tc>
        <w:tc>
          <w:tcPr/>
          <w:p>
            <w:pPr>
              <w:pStyle w:val="Compact"/>
            </w:pPr>
            <w:r>
              <w:t xml:space="preserve">Do not sow your vineyard with two kinds of seed</w:t>
            </w:r>
          </w:p>
        </w:tc>
        <w:tc>
          <w:tcPr/>
          <w:p>
            <w:pPr>
              <w:pStyle w:val="Compact"/>
            </w:pPr>
            <w:r>
              <w:t xml:space="preserve">Creation-distinction; mixing corrupts the whole</w:t>
            </w:r>
          </w:p>
        </w:tc>
      </w:tr>
      <w:tr>
        <w:tc>
          <w:tcPr/>
          <w:p>
            <w:pPr>
              <w:pStyle w:val="Compact"/>
            </w:pPr>
            <w:r>
              <w:t xml:space="preserve">10</w:t>
            </w:r>
          </w:p>
        </w:tc>
        <w:tc>
          <w:tcPr/>
          <w:p>
            <w:pPr>
              <w:pStyle w:val="Compact"/>
            </w:pPr>
            <w:r>
              <w:t xml:space="preserve">Do not plow with an ox and a donkey together</w:t>
            </w:r>
          </w:p>
        </w:tc>
        <w:tc>
          <w:tcPr/>
          <w:p>
            <w:pPr>
              <w:pStyle w:val="Compact"/>
            </w:pPr>
            <w:r>
              <w:t xml:space="preserve">Unequal yoking; creature-kind distinctions honored</w:t>
            </w:r>
          </w:p>
        </w:tc>
      </w:tr>
      <w:tr>
        <w:tc>
          <w:tcPr/>
          <w:p>
            <w:pPr>
              <w:pStyle w:val="Compact"/>
            </w:pPr>
            <w:r>
              <w:t xml:space="preserve">11</w:t>
            </w:r>
          </w:p>
        </w:tc>
        <w:tc>
          <w:tcPr/>
          <w:p>
            <w:pPr>
              <w:pStyle w:val="Compact"/>
            </w:pPr>
            <w:r>
              <w:t xml:space="preserve">Do not wear cloth of wool and linen woven together</w:t>
            </w:r>
          </w:p>
        </w:tc>
        <w:tc>
          <w:tcPr/>
          <w:p>
            <w:pPr>
              <w:pStyle w:val="Compact"/>
            </w:pPr>
            <w:r>
              <w:t xml:space="preserve">Mixed fabrics forbidden — symbolic of unmixed covenant identity</w:t>
            </w:r>
          </w:p>
        </w:tc>
      </w:tr>
      <w:tr>
        <w:tc>
          <w:tcPr/>
          <w:p>
            <w:pPr>
              <w:pStyle w:val="Compact"/>
            </w:pPr>
            <w:r>
              <w:t xml:space="preserve">12</w:t>
            </w:r>
          </w:p>
        </w:tc>
        <w:tc>
          <w:tcPr/>
          <w:p>
            <w:pPr>
              <w:pStyle w:val="Compact"/>
            </w:pPr>
            <w:r>
              <w:t xml:space="preserve">Make tassels on the four corners of your garment</w:t>
            </w:r>
          </w:p>
        </w:tc>
        <w:tc>
          <w:tcPr/>
          <w:p>
            <w:pPr>
              <w:pStyle w:val="Compact"/>
            </w:pPr>
            <w:r>
              <w:t xml:space="preserve">Covenant reminder; continuous visual prompt to obedience (Numbers 15:38–40)</w:t>
            </w:r>
          </w:p>
        </w:tc>
      </w:tr>
      <w:tr>
        <w:tc>
          <w:tcPr/>
          <w:p>
            <w:pPr>
              <w:pStyle w:val="Compact"/>
            </w:pPr>
            <w:r>
              <w:t xml:space="preserve">13–19</w:t>
            </w:r>
          </w:p>
        </w:tc>
        <w:tc>
          <w:tcPr/>
          <w:p>
            <w:pPr>
              <w:pStyle w:val="Compact"/>
            </w:pPr>
            <w:r>
              <w:t xml:space="preserve">Case law: a man accuses his new wife of not being a virgin; parents produce evidence; if false, the man is flogged and fined 100 shekels and may never divorce her</w:t>
            </w:r>
          </w:p>
        </w:tc>
        <w:tc>
          <w:tcPr/>
          <w:p>
            <w:pPr>
              <w:pStyle w:val="Compact"/>
            </w:pPr>
            <w:r>
              <w:t xml:space="preserve">Protection of women from slander; the false accusation is a communal offense</w:t>
            </w:r>
          </w:p>
        </w:tc>
      </w:tr>
      <w:tr>
        <w:tc>
          <w:tcPr/>
          <w:p>
            <w:pPr>
              <w:pStyle w:val="Compact"/>
            </w:pPr>
            <w:r>
              <w:t xml:space="preserve">20–21</w:t>
            </w:r>
          </w:p>
        </w:tc>
        <w:tc>
          <w:tcPr/>
          <w:p>
            <w:pPr>
              <w:pStyle w:val="Compact"/>
            </w:pPr>
            <w:r>
              <w:t xml:space="preserve">If the accusation is true and no evidence of virginity exists, the woman is stoned at her father’s door</w:t>
            </w:r>
          </w:p>
        </w:tc>
        <w:tc>
          <w:tcPr/>
          <w:p>
            <w:pPr>
              <w:pStyle w:val="Compact"/>
            </w:pPr>
            <w:r>
              <w:t xml:space="preserve">Holiness of the covenant household; sexual immorality is a community matter</w:t>
            </w:r>
          </w:p>
        </w:tc>
      </w:tr>
      <w:tr>
        <w:tc>
          <w:tcPr/>
          <w:p>
            <w:pPr>
              <w:pStyle w:val="Compact"/>
            </w:pPr>
            <w:r>
              <w:t xml:space="preserve">22</w:t>
            </w:r>
          </w:p>
        </w:tc>
        <w:tc>
          <w:tcPr/>
          <w:p>
            <w:pPr>
              <w:pStyle w:val="Compact"/>
            </w:pPr>
            <w:r>
              <w:t xml:space="preserve">If a man is found lying with a married woman, both shall die</w:t>
            </w:r>
          </w:p>
        </w:tc>
        <w:tc>
          <w:tcPr/>
          <w:p>
            <w:pPr>
              <w:pStyle w:val="Compact"/>
            </w:pPr>
            <w:r>
              <w:t xml:space="preserve">Adultery is a capital offense against the covenant</w:t>
            </w:r>
          </w:p>
        </w:tc>
      </w:tr>
      <w:tr>
        <w:tc>
          <w:tcPr/>
          <w:p>
            <w:pPr>
              <w:pStyle w:val="Compact"/>
            </w:pPr>
            <w:r>
              <w:t xml:space="preserve">23–24</w:t>
            </w:r>
          </w:p>
        </w:tc>
        <w:tc>
          <w:tcPr/>
          <w:p>
            <w:pPr>
              <w:pStyle w:val="Compact"/>
            </w:pPr>
            <w:r>
              <w:t xml:space="preserve">If a betrothed virgin in the city is violated and does not cry out, both are stoned</w:t>
            </w:r>
          </w:p>
        </w:tc>
        <w:tc>
          <w:tcPr/>
          <w:p>
            <w:pPr>
              <w:pStyle w:val="Compact"/>
            </w:pPr>
            <w:r>
              <w:t xml:space="preserve">City context provides opportunity for help; silence infers consent</w:t>
            </w:r>
          </w:p>
        </w:tc>
      </w:tr>
      <w:tr>
        <w:tc>
          <w:tcPr/>
          <w:p>
            <w:pPr>
              <w:pStyle w:val="Compact"/>
            </w:pPr>
            <w:r>
              <w:t xml:space="preserve">25–27</w:t>
            </w:r>
          </w:p>
        </w:tc>
        <w:tc>
          <w:tcPr/>
          <w:p>
            <w:pPr>
              <w:pStyle w:val="Compact"/>
            </w:pPr>
            <w:r>
              <w:t xml:space="preserve">If a betrothed virgin in the field is violated, only the man dies; she is presumed innocent</w:t>
            </w:r>
          </w:p>
        </w:tc>
        <w:tc>
          <w:tcPr/>
          <w:p>
            <w:pPr>
              <w:pStyle w:val="Compact"/>
            </w:pPr>
            <w:r>
              <w:t xml:space="preserve">Isolation is exculpatory; explicit statement:</w:t>
            </w:r>
            <w:r>
              <w:t xml:space="preserve"> </w:t>
            </w:r>
            <w:r>
              <w:t xml:space="preserve">“she has committed no sin deserving death”</w:t>
            </w:r>
          </w:p>
        </w:tc>
      </w:tr>
      <w:tr>
        <w:tc>
          <w:tcPr/>
          <w:p>
            <w:pPr>
              <w:pStyle w:val="Compact"/>
            </w:pPr>
            <w:r>
              <w:t xml:space="preserve">28–29</w:t>
            </w:r>
          </w:p>
        </w:tc>
        <w:tc>
          <w:tcPr/>
          <w:p>
            <w:pPr>
              <w:pStyle w:val="Compact"/>
            </w:pPr>
            <w:r>
              <w:t xml:space="preserve">If an unbetrothed virgin is violated, the man pays 50 shekels, must marry her, and may never divorce her</w:t>
            </w:r>
          </w:p>
        </w:tc>
        <w:tc>
          <w:tcPr/>
          <w:p>
            <w:pPr>
              <w:pStyle w:val="Compact"/>
            </w:pPr>
            <w:r>
              <w:t xml:space="preserve">Protection of unmarried women; economic and social provision secured</w:t>
            </w:r>
          </w:p>
        </w:tc>
      </w:tr>
      <w:tr>
        <w:tc>
          <w:tcPr/>
          <w:p>
            <w:pPr>
              <w:pStyle w:val="Compact"/>
            </w:pPr>
            <w:r>
              <w:t xml:space="preserve">30</w:t>
            </w:r>
          </w:p>
        </w:tc>
        <w:tc>
          <w:tcPr/>
          <w:p>
            <w:pPr>
              <w:pStyle w:val="Compact"/>
            </w:pPr>
            <w:r>
              <w:t xml:space="preserve">A man shall not marry his father’s wife</w:t>
            </w:r>
          </w:p>
        </w:tc>
        <w:tc>
          <w:tcPr/>
          <w:p>
            <w:pPr>
              <w:pStyle w:val="Compact"/>
            </w:pPr>
            <w:r>
              <w:t xml:space="preserve">Prohibition against violating a parent’s covenant;</w:t>
            </w:r>
            <w:r>
              <w:t xml:space="preserve"> </w:t>
            </w:r>
            <w:r>
              <w:t xml:space="preserve">“uncovering the father’s nakedness”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Active Neighbor-Care: Do Not Ignore What You Can Help</w:t>
            </w:r>
          </w:p>
        </w:tc>
      </w:tr>
      <w:tr>
        <w:tc>
          <w:tcPr/>
          <w:p>
            <w:pPr>
              <w:pStyle w:val="Compact"/>
            </w:pPr>
            <w:r>
              <w:t xml:space="preserve">2</w:t>
            </w:r>
          </w:p>
        </w:tc>
        <w:tc>
          <w:tcPr/>
          <w:p>
            <w:pPr>
              <w:pStyle w:val="Compact"/>
            </w:pPr>
            <w:r>
              <w:t xml:space="preserve">5</w:t>
            </w:r>
          </w:p>
        </w:tc>
        <w:tc>
          <w:tcPr/>
          <w:p>
            <w:pPr>
              <w:pStyle w:val="Compact"/>
            </w:pPr>
            <w:r>
              <w:t xml:space="preserve">Gender Distinction: Creation Order Is Not Negotiable</w:t>
            </w:r>
          </w:p>
        </w:tc>
      </w:tr>
      <w:tr>
        <w:tc>
          <w:tcPr/>
          <w:p>
            <w:pPr>
              <w:pStyle w:val="Compact"/>
            </w:pPr>
            <w:r>
              <w:t xml:space="preserve">3</w:t>
            </w:r>
          </w:p>
        </w:tc>
        <w:tc>
          <w:tcPr/>
          <w:p>
            <w:pPr>
              <w:pStyle w:val="Compact"/>
            </w:pPr>
            <w:r>
              <w:t xml:space="preserve">6–8</w:t>
            </w:r>
          </w:p>
        </w:tc>
        <w:tc>
          <w:tcPr/>
          <w:p>
            <w:pPr>
              <w:pStyle w:val="Compact"/>
            </w:pPr>
            <w:r>
              <w:t xml:space="preserve">Proportionate Care: Life, Safety, and the Limits of Use</w:t>
            </w:r>
          </w:p>
        </w:tc>
      </w:tr>
      <w:tr>
        <w:tc>
          <w:tcPr/>
          <w:p>
            <w:pPr>
              <w:pStyle w:val="Compact"/>
            </w:pPr>
            <w:r>
              <w:t xml:space="preserve">4</w:t>
            </w:r>
          </w:p>
        </w:tc>
        <w:tc>
          <w:tcPr/>
          <w:p>
            <w:pPr>
              <w:pStyle w:val="Compact"/>
            </w:pPr>
            <w:r>
              <w:t xml:space="preserve">9–12</w:t>
            </w:r>
          </w:p>
        </w:tc>
        <w:tc>
          <w:tcPr/>
          <w:p>
            <w:pPr>
              <w:pStyle w:val="Compact"/>
            </w:pPr>
            <w:r>
              <w:t xml:space="preserve">Unmixed Identity: Covenant Israel Maintains Distinctions</w:t>
            </w:r>
          </w:p>
        </w:tc>
      </w:tr>
      <w:tr>
        <w:tc>
          <w:tcPr/>
          <w:p>
            <w:pPr>
              <w:pStyle w:val="Compact"/>
            </w:pPr>
            <w:r>
              <w:t xml:space="preserve">5</w:t>
            </w:r>
          </w:p>
        </w:tc>
        <w:tc>
          <w:tcPr/>
          <w:p>
            <w:pPr>
              <w:pStyle w:val="Compact"/>
            </w:pPr>
            <w:r>
              <w:t xml:space="preserve">13–21</w:t>
            </w:r>
          </w:p>
        </w:tc>
        <w:tc>
          <w:tcPr/>
          <w:p>
            <w:pPr>
              <w:pStyle w:val="Compact"/>
            </w:pPr>
            <w:r>
              <w:t xml:space="preserve">Sexual Integrity in Marriage: Protecting the Covenant Household</w:t>
            </w:r>
          </w:p>
        </w:tc>
      </w:tr>
      <w:tr>
        <w:tc>
          <w:tcPr/>
          <w:p>
            <w:pPr>
              <w:pStyle w:val="Compact"/>
            </w:pPr>
            <w:r>
              <w:t xml:space="preserve">6</w:t>
            </w:r>
          </w:p>
        </w:tc>
        <w:tc>
          <w:tcPr/>
          <w:p>
            <w:pPr>
              <w:pStyle w:val="Compact"/>
            </w:pPr>
            <w:r>
              <w:t xml:space="preserve">22–27</w:t>
            </w:r>
          </w:p>
        </w:tc>
        <w:tc>
          <w:tcPr/>
          <w:p>
            <w:pPr>
              <w:pStyle w:val="Compact"/>
            </w:pPr>
            <w:r>
              <w:t xml:space="preserve">Sexual Violation and the Community’s Responsibility to Justice</w:t>
            </w:r>
          </w:p>
        </w:tc>
      </w:tr>
      <w:tr>
        <w:tc>
          <w:tcPr/>
          <w:p>
            <w:pPr>
              <w:pStyle w:val="Compact"/>
            </w:pPr>
            <w:r>
              <w:t xml:space="preserve">7</w:t>
            </w:r>
          </w:p>
        </w:tc>
        <w:tc>
          <w:tcPr/>
          <w:p>
            <w:pPr>
              <w:pStyle w:val="Compact"/>
            </w:pPr>
            <w:r>
              <w:t xml:space="preserve">28–30</w:t>
            </w:r>
          </w:p>
        </w:tc>
        <w:tc>
          <w:tcPr/>
          <w:p>
            <w:pPr>
              <w:pStyle w:val="Compact"/>
            </w:pPr>
            <w:r>
              <w:t xml:space="preserve">The Vulnerable and the Boundary: Provision Without Exploitation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law shapes Israel into a community that honors His order and protects the vulnerable.</w:t>
      </w:r>
    </w:p>
    <w:p>
      <w:pPr>
        <w:pStyle w:val="BodyText"/>
      </w:pPr>
      <w:r>
        <w:rPr>
          <w:b/>
          <w:bCs/>
        </w:rPr>
        <w:t xml:space="preserve">Primary Claim:</w:t>
      </w:r>
      <w:r>
        <w:t xml:space="preserve"> </w:t>
      </w:r>
      <w:r>
        <w:t xml:space="preserve">The LORD gives Israel detailed law not to burden the community but to form it — to create a people whose daily practices reflect His own attentiveness to order, care for the vulnerable, and intolerance of the violations that unravel both.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See what you would rather not see, and act anyway.</w:t>
      </w:r>
      <w:r>
        <w:t xml:space="preserve"> </w:t>
      </w:r>
      <w:r>
        <w:rPr>
          <w:i/>
          <w:iCs/>
        </w:rPr>
        <w:t xml:space="preserve">(Mind/Belief)</w:t>
      </w:r>
      <w:r>
        <w:t xml:space="preserve"> </w:t>
      </w:r>
      <w:r>
        <w:t xml:space="preserve">The chapter opens with a repeated command:</w:t>
      </w:r>
      <w:r>
        <w:t xml:space="preserve"> </w:t>
      </w:r>
      <w:r>
        <w:t xml:space="preserve">“You shall not ignore it”</w:t>
      </w:r>
      <w:r>
        <w:t xml:space="preserve"> </w:t>
      </w:r>
      <w:r>
        <w:t xml:space="preserve">(vv. 1, 3, 4). The default human posture is avoidance — the straying animal, the collapsed neighbor, the injustice visible at the edges of your vision that would cost you time and inconvenience to address. Israel was commanded to form a different reflex: engagement, not evasion. The Christian community is called to the same formation. Ask where you have trained yourself not to see, not to notice, not to get involved — and understand that the law of God names that trained blindness as sin, not as prudent self-management.</w:t>
      </w:r>
    </w:p>
    <w:p>
      <w:pPr>
        <w:pStyle w:val="BodyText"/>
      </w:pPr>
      <w:r>
        <w:rPr>
          <w:b/>
          <w:bCs/>
        </w:rPr>
        <w:t xml:space="preserve">2. Recognize that God’s created distinctions are not cultural accidents to be overridden.</w:t>
      </w:r>
      <w:r>
        <w:t xml:space="preserve"> </w:t>
      </w:r>
      <w:r>
        <w:rPr>
          <w:i/>
          <w:iCs/>
        </w:rPr>
        <w:t xml:space="preserve">(Mind/Belief)</w:t>
      </w:r>
      <w:r>
        <w:t xml:space="preserve"> </w:t>
      </w:r>
      <w:r>
        <w:t xml:space="preserve">The mixing laws and the gender-distinction law of verse 5 rest on the same foundation: the world God made has a structure, and that structure is not arbitrary or infinitely malleable. Israel’s daily agricultural and clothing practices were designed to embody a theology of creation-integrity. The New Covenant community is not bound to the specific forms of these laws, but the animating principle retains force: where God has established a distinction, blurring it is not freedom but disordering. This calls for careful, humble, and biblically-grounded engagement with the contemporary pressures that press the church toward treating all distinction-categories as social constructs rather than creation realities.</w:t>
      </w:r>
    </w:p>
    <w:p>
      <w:pPr>
        <w:pStyle w:val="BodyText"/>
      </w:pPr>
      <w:r>
        <w:rPr>
          <w:b/>
          <w:bCs/>
        </w:rPr>
        <w:t xml:space="preserve">3. Grieve that you live in a community that is failing to protect the vulnerable.</w:t>
      </w:r>
      <w:r>
        <w:t xml:space="preserve"> </w:t>
      </w:r>
      <w:r>
        <w:rPr>
          <w:i/>
          <w:iCs/>
        </w:rPr>
        <w:t xml:space="preserve">(Affections/Worship)</w:t>
      </w:r>
      <w:r>
        <w:t xml:space="preserve"> </w:t>
      </w:r>
      <w:r>
        <w:t xml:space="preserve">The sustained attention this chapter gives to the protection of women — from slander (vv. 13–19), from violation (vv. 23–29), from economic abandonment (vv. 28–29) — is not the background noise of an ancient legal code. It is a direct expression of God’s own heart for those who are most easily exploited. The church should feel the weight of this: God designed covenant community as a protective structure, not merely a spiritual association. Where the church has failed to be a place of genuine protection for the abused, the slandered, and the violated, that failure is not a peripheral problem but a breach at the center of what covenant community is supposed to be. This should produce grief, not merely policy adjustment.</w:t>
      </w:r>
    </w:p>
    <w:p>
      <w:pPr>
        <w:pStyle w:val="BodyText"/>
      </w:pPr>
      <w:r>
        <w:rPr>
          <w:b/>
          <w:bCs/>
        </w:rPr>
        <w:t xml:space="preserve">4. Build the parapet — take concrete, structural steps to prevent foreseeable harm.</w:t>
      </w:r>
      <w:r>
        <w:t xml:space="preserve"> </w:t>
      </w:r>
      <w:r>
        <w:rPr>
          <w:i/>
          <w:iCs/>
        </w:rPr>
        <w:t xml:space="preserve">(Will/Behavior)</w:t>
      </w:r>
      <w:r>
        <w:t xml:space="preserve"> </w:t>
      </w:r>
      <w:r>
        <w:t xml:space="preserve">Verse 8 is often overlooked, but its logic is profound: you are responsible not only for harms you intend but for harms you fail to prevent through negligence when prevention is within your power.</w:t>
      </w:r>
      <w:r>
        <w:t xml:space="preserve"> </w:t>
      </w:r>
      <w:r>
        <w:t xml:space="preserve">“Do not bring blood-guilt on your house”</w:t>
      </w:r>
      <w:r>
        <w:t xml:space="preserve"> </w:t>
      </w:r>
      <w:r>
        <w:t xml:space="preserve">means that a foreseeable hazard left unaddressed becomes your moral liability. In contemporary terms: the organization, the household, the church community, the individual — all carry responsibility for building the</w:t>
      </w:r>
      <w:r>
        <w:t xml:space="preserve"> </w:t>
      </w:r>
      <w:r>
        <w:t xml:space="preserve">“parapet,”</w:t>
      </w:r>
      <w:r>
        <w:t xml:space="preserve"> </w:t>
      </w:r>
      <w:r>
        <w:t xml:space="preserve">the structural safeguard that prevents foreseeable injury to others. Identify one structural vulnerability in your sphere of responsibility where a foreseeable harm is currently unguarded, and act to address it this week.</w:t>
      </w:r>
    </w:p>
    <w:p>
      <w:pPr>
        <w:pStyle w:val="BodyText"/>
      </w:pPr>
      <w:r>
        <w:rPr>
          <w:b/>
          <w:bCs/>
        </w:rPr>
        <w:t xml:space="preserve">5. Let the tassels do their work — build habits that keep the covenant constantly before you.</w:t>
      </w:r>
      <w:r>
        <w:t xml:space="preserve"> </w:t>
      </w:r>
      <w:r>
        <w:rPr>
          <w:i/>
          <w:iCs/>
        </w:rPr>
        <w:t xml:space="preserve">(Affections/Worship)</w:t>
      </w:r>
      <w:r>
        <w:t xml:space="preserve"> </w:t>
      </w:r>
      <w:r>
        <w:t xml:space="preserve">Verse 12 may seem like an anticlimactic interruption, but it is a hinge: the tassels of Numbers 15 were not decorative but mnemonic — they kept the commandments visually present in the daily routines of life. The larger chapter’s concern (that Israel embody holiness in agriculture, dress, marriage, neighborhood, construction) depends on Israel not forgetting what they are and whose they are. The Christian equivalent is not tassels but it is also not nothing: the practices of Scripture reading, communal worship, the Lord’s Supper, sabbath rhythms — all function as covenant tassels, keeping the identity and obligations of the people of God before them in the middle of the day, not just in the sanctuary. Do not eliminate the habits that remind you what is true.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22 reveals that God’s law is not an arbitrary burden but a formation instrument — a comprehensive vision of what a holy, other-centered, and just community looks like in its daily practices. The chapter demonstrates that God’s concern with holiness extends not only to formal worship but to agriculture, construction, clothing, neighborly attentiveness, and the protection of the most vulnerable members of the community. This reflects the character of the God who created the world according to kinds, who sees the straying animal and the violated woman with equal attentiveness, and who intends His people to be His image-bearers in the concrete texture of communal life. The diversity of the laws is not a problem to be solved but a feature to be understood: God’s holiness is not compartmentalized into the sacred sphere, and Israel’s covenant obligations were never meant to be.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insistence on the third use of the law — law as guide for the redeemed community — finds direct expression in Deuteronomy 22. These laws are not given to earn standing before God but to form a people who already stand before God in covenant grace. They are the shape of the grateful life, not the price of acceptance. The chapter also illustrates the threefold division of law: the ceremonial elements (mixing laws, tassels) find their fulfillment and transformation in Christ, the civil/judicial elements (case laws governing property, marriage, and violation) reflect principles of justice and protection that transcend their specific Israelite form, and the moral elements (care for neighbors, protection of the vulnerable, honoring God’s creation order) retain direct applicability. The chapter resists the Lutheranism that reduces law entirely to the second use (exposing sin and driving to Christ) — these laws are not primarily about conviction but about formation, which is precisely the Reformed case for the third use of the law.</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give you detailed law because He is petty — He gives it because He is thorough. Every straying animal, every roof edge, every woman who cannot defend herself, every blurred distinction — God sees all of it, and He is forming a community that sees it too. The question Deuteronomy 22 presses on the reader is not</w:t>
      </w:r>
      <w:r>
        <w:t xml:space="preserve"> </w:t>
      </w:r>
      <w:r>
        <w:t xml:space="preserve">“do I know these laws?”</w:t>
      </w:r>
      <w:r>
        <w:t xml:space="preserve"> </w:t>
      </w:r>
      <w:r>
        <w:t xml:space="preserve">but</w:t>
      </w:r>
      <w:r>
        <w:t xml:space="preserve"> </w:t>
      </w:r>
      <w:r>
        <w:t xml:space="preserve">“am I becoming the kind of person who does not ignore what God does not ignore?”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an embarrassment to be explained away rather than a text to be preached.</w:t>
      </w:r>
      <w:r>
        <w:t xml:space="preserve"> </w:t>
      </w:r>
      <w:r>
        <w:t xml:space="preserve">The mixing laws and the virginity legislation make modern readers uncomfortable, and the temptation is to spend the exposition defending the text rather than preaching it. The laws do require contextual explanation, but explanation is not the goal — formation is. The preacher who spends the whole sermon apologizing for Deuteronomy 22 has not preached it. The text has a claim; preach the claim.</w:t>
      </w:r>
    </w:p>
    <w:p>
      <w:pPr>
        <w:numPr>
          <w:ilvl w:val="0"/>
          <w:numId w:val="1002"/>
        </w:numPr>
      </w:pPr>
      <w:r>
        <w:rPr>
          <w:b/>
          <w:bCs/>
        </w:rPr>
        <w:t xml:space="preserve">Failing to find the unity beneath the diversity.</w:t>
      </w:r>
      <w:r>
        <w:t xml:space="preserve"> </w:t>
      </w:r>
      <w:r>
        <w:t xml:space="preserve">Deuteronomy 22 looks like a pile of unrelated regulations until the governing principle is identified: the LORD’s attentiveness to order, His protection of the vulnerable, and His call for a community that embodies both. A sermon that treats the chapter as a list of rules to be applied one by one will never get traction — the unity must be named early and held throughout.</w:t>
      </w:r>
    </w:p>
    <w:p>
      <w:pPr>
        <w:numPr>
          <w:ilvl w:val="0"/>
          <w:numId w:val="1002"/>
        </w:numPr>
      </w:pPr>
      <w:r>
        <w:rPr>
          <w:b/>
          <w:bCs/>
        </w:rPr>
        <w:t xml:space="preserve">Moralizing the opening section (vv. 1–4) into civic virtue.</w:t>
      </w:r>
      <w:r>
        <w:t xml:space="preserve"> </w:t>
      </w:r>
      <w:r>
        <w:t xml:space="preserve">The command to return a neighbor’s ox is not a lesson in good citizenship — it is a covenant obligation flowing from the character of God and the identity of Israel as His people. Reduce it to</w:t>
      </w:r>
      <w:r>
        <w:t xml:space="preserve"> </w:t>
      </w:r>
      <w:r>
        <w:t xml:space="preserve">“be a good neighbor”</w:t>
      </w:r>
      <w:r>
        <w:t xml:space="preserve"> </w:t>
      </w:r>
      <w:r>
        <w:t xml:space="preserve">and you have extracted the gospel motivation and left a bare imperative. Ground it in covenant identity:</w:t>
      </w:r>
      <w:r>
        <w:t xml:space="preserve"> </w:t>
      </w:r>
      <w:r>
        <w:rPr>
          <w:i/>
          <w:iCs/>
        </w:rPr>
        <w:t xml:space="preserve">you return the ox because you belong to a God who leaves the ninety-nine to find the one.</w:t>
      </w:r>
    </w:p>
    <w:p>
      <w:pPr>
        <w:numPr>
          <w:ilvl w:val="0"/>
          <w:numId w:val="1002"/>
        </w:numPr>
      </w:pPr>
      <w:r>
        <w:rPr>
          <w:b/>
          <w:bCs/>
        </w:rPr>
        <w:t xml:space="preserve">Missing the victim-protective force of the sexual legislation.</w:t>
      </w:r>
      <w:r>
        <w:t xml:space="preserve"> </w:t>
      </w:r>
      <w:r>
        <w:t xml:space="preserve">These laws were radical in their ancient context — they provided legal protection for women who were economically and socially powerless. A sermon that preaches only the holiness/purity dimension without the protective dimension has missed half the passage’s intent. God designed these laws to give a voice and a standing to women who had none under surrounding legal systems. That is good news worth preaching.</w:t>
      </w:r>
    </w:p>
    <w:p>
      <w:pPr>
        <w:numPr>
          <w:ilvl w:val="0"/>
          <w:numId w:val="1002"/>
        </w:numPr>
      </w:pPr>
      <w:r>
        <w:rPr>
          <w:b/>
          <w:bCs/>
        </w:rPr>
        <w:t xml:space="preserve">Applying the mixing laws too directly or not at all.</w:t>
      </w:r>
      <w:r>
        <w:t xml:space="preserve"> </w:t>
      </w:r>
      <w:r>
        <w:t xml:space="preserve">Two opposite errors occur here. The first treats the prohibition of mixed fabrics as directly binding on New Covenant Christians, importing a ceremonial law without the canonical framework to justify it. The second dismisses the mixing laws as irrelevant ancient food codes with nothing to say. The correct move is to trace the theological principle — God’s created distinctions are real and to be honored — into its New Covenant form without either importing the Mosaic ceremony or abandoning the creation-order theology.</w:t>
      </w:r>
    </w:p>
    <w:p>
      <w:pPr>
        <w:numPr>
          <w:ilvl w:val="0"/>
          <w:numId w:val="1002"/>
        </w:numPr>
      </w:pPr>
      <w:r>
        <w:rPr>
          <w:b/>
          <w:bCs/>
        </w:rPr>
        <w:t xml:space="preserve">Preaching the virginity laws (vv. 13–21) without sensitivity to survivors in the room.</w:t>
      </w:r>
      <w:r>
        <w:t xml:space="preserve"> </w:t>
      </w:r>
      <w:r>
        <w:t xml:space="preserve">The case laws governing sexual violation will land differently on different people in the congregation. This is not a reason to avoid the text, but it is a reason to preach it with pastoral attentiveness. The text itself is victim-protective (v. 26 explicitly exonerates the violated woman); the sermon should be the same. A congregation that includes survivors of sexual violence needs to hear that God’s law existed to protect them, not to judge them.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2026-07-14T21:02:08Z</dcterms:created>
  <dcterms:modified xsi:type="dcterms:W3CDTF">2026-07-14T21:02:08Z</dcterms:modified>
</cp:coreProperties>
</file>

<file path=docProps/custom.xml><?xml version="1.0" encoding="utf-8"?>
<Properties xmlns="http://schemas.openxmlformats.org/officeDocument/2006/custom-properties" xmlns:vt="http://schemas.openxmlformats.org/officeDocument/2006/docPropsVTypes"/>
</file>